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 направлении уполномоченн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ого лица 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1. 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аправить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Долгова Валерия Геннадьевича,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начальника отдела организации строительства департамента строительства и жилищно-коммунального хозяйства правительства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период с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01.0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6.2024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01.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08.202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Амвросиевский район Донецкой 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ab/>
        <w:t xml:space="preserve">2. Считать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Долгова Валерия Геннадьевича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уполномоченным 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ом от правительства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соответствии с вышеуказанным Соглашением с 07.06.2024.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–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А.В. Садаев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 w:customStyle="1">
    <w:name w:val="Heading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11</cp:revision>
  <dcterms:created xsi:type="dcterms:W3CDTF">2023-12-24T23:43:00Z</dcterms:created>
  <dcterms:modified xsi:type="dcterms:W3CDTF">2024-05-29T01:40:37Z</dcterms:modified>
</cp:coreProperties>
</file>